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2FC" w:rsidRDefault="00C02A72">
      <w:pPr>
        <w:spacing w:after="0" w:line="283" w:lineRule="exact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9</w:t>
      </w:r>
    </w:p>
    <w:p w:rsidR="001242FC" w:rsidRDefault="00C02A72">
      <w:pPr>
        <w:spacing w:after="0" w:line="283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дополнительному соглашению от 19.02.2026 № 1</w:t>
      </w:r>
    </w:p>
    <w:p w:rsidR="001242FC" w:rsidRDefault="00C02A72">
      <w:pPr>
        <w:pStyle w:val="ConsPlusNormal"/>
        <w:spacing w:line="240" w:lineRule="exact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 тарифному соглашению в сфере ОМС</w:t>
      </w:r>
    </w:p>
    <w:p w:rsidR="001242FC" w:rsidRDefault="00C02A72">
      <w:pPr>
        <w:pStyle w:val="ConsPlusNormal"/>
        <w:spacing w:line="240" w:lineRule="exact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на территории</w:t>
      </w:r>
      <w:r>
        <w:rPr>
          <w:sz w:val="28"/>
          <w:szCs w:val="28"/>
        </w:rPr>
        <w:t xml:space="preserve"> Ставропольского края от 25.12.2025</w:t>
      </w:r>
    </w:p>
    <w:p w:rsidR="001242FC" w:rsidRDefault="001242FC">
      <w:pPr>
        <w:spacing w:after="0" w:line="283" w:lineRule="exact"/>
        <w:jc w:val="right"/>
        <w:rPr>
          <w:rFonts w:ascii="Times New Roman" w:hAnsi="Times New Roman" w:cs="Times New Roman"/>
          <w:sz w:val="28"/>
          <w:szCs w:val="28"/>
        </w:rPr>
      </w:pPr>
    </w:p>
    <w:p w:rsidR="001242FC" w:rsidRDefault="001242FC">
      <w:pPr>
        <w:spacing w:after="0" w:line="283" w:lineRule="exact"/>
        <w:rPr>
          <w:rFonts w:ascii="Times New Roman" w:hAnsi="Times New Roman" w:cs="Times New Roman"/>
          <w:sz w:val="28"/>
          <w:szCs w:val="28"/>
        </w:rPr>
      </w:pPr>
    </w:p>
    <w:p w:rsidR="001242FC" w:rsidRDefault="00C02A72">
      <w:pPr>
        <w:spacing w:after="0" w:line="283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Изменения, которые вносятся в Приложение 19 к тарифному соглашению</w:t>
      </w:r>
    </w:p>
    <w:p w:rsidR="001242FC" w:rsidRDefault="00C02A72">
      <w:pPr>
        <w:spacing w:after="0" w:line="283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в сфере обязательного медицинского страхования на территории Ставропольского края от 25 декабря 2025 года</w:t>
      </w:r>
    </w:p>
    <w:p w:rsidR="001242FC" w:rsidRDefault="001242FC">
      <w:pPr>
        <w:pStyle w:val="ConsPlusNormal"/>
        <w:outlineLvl w:val="0"/>
        <w:rPr>
          <w:color w:val="000000" w:themeColor="text1"/>
        </w:rPr>
      </w:pPr>
    </w:p>
    <w:p w:rsidR="001242FC" w:rsidRDefault="00C02A72">
      <w:pPr>
        <w:pStyle w:val="ConsPlusNormal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Таблицу 1 изложить в следующей редакции:</w:t>
      </w:r>
    </w:p>
    <w:p w:rsidR="001242FC" w:rsidRDefault="001242FC">
      <w:pPr>
        <w:pStyle w:val="ConsPlusNormal"/>
        <w:jc w:val="right"/>
        <w:outlineLvl w:val="0"/>
        <w:rPr>
          <w:color w:val="000000" w:themeColor="text1"/>
          <w:szCs w:val="24"/>
        </w:rPr>
      </w:pPr>
    </w:p>
    <w:p w:rsidR="001242FC" w:rsidRDefault="001242FC">
      <w:pPr>
        <w:pStyle w:val="ConsPlusNormal"/>
        <w:spacing w:line="283" w:lineRule="exact"/>
        <w:jc w:val="both"/>
        <w:rPr>
          <w:color w:val="000000" w:themeColor="text1"/>
        </w:rPr>
      </w:pPr>
    </w:p>
    <w:p w:rsidR="001242FC" w:rsidRDefault="00C02A72">
      <w:pPr>
        <w:pStyle w:val="ConsPlusNormal"/>
        <w:jc w:val="right"/>
        <w:outlineLvl w:val="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«Таблица 1</w:t>
      </w:r>
    </w:p>
    <w:p w:rsidR="001242FC" w:rsidRDefault="001242FC">
      <w:pPr>
        <w:pStyle w:val="ConsPlusNormal"/>
        <w:jc w:val="both"/>
        <w:rPr>
          <w:color w:val="000000" w:themeColor="text1"/>
        </w:rPr>
      </w:pPr>
    </w:p>
    <w:p w:rsidR="001242FC" w:rsidRDefault="00C02A72">
      <w:pPr>
        <w:pStyle w:val="ConsPlusTitle"/>
        <w:spacing w:line="283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Перечень</w:t>
      </w:r>
    </w:p>
    <w:p w:rsidR="001242FC" w:rsidRDefault="00C02A72">
      <w:pPr>
        <w:pStyle w:val="ConsPlusTitle"/>
        <w:spacing w:line="283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основания применения КСЛП к тарифам КСГ на оплату</w:t>
      </w:r>
    </w:p>
    <w:p w:rsidR="001242FC" w:rsidRDefault="00C02A72">
      <w:pPr>
        <w:pStyle w:val="ConsPlusTitle"/>
        <w:spacing w:line="283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медицинской помощи, оказываемой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стационарных условиях</w:t>
      </w:r>
    </w:p>
    <w:p w:rsidR="001242FC" w:rsidRDefault="00C02A72">
      <w:pPr>
        <w:pStyle w:val="ConsPlusTitle"/>
        <w:spacing w:line="283" w:lineRule="exac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условиях дневного стационара</w:t>
      </w:r>
    </w:p>
    <w:p w:rsidR="001242FC" w:rsidRDefault="001242FC">
      <w:pPr>
        <w:pStyle w:val="ConsPlusNormal"/>
        <w:jc w:val="both"/>
        <w:rPr>
          <w:color w:val="000000" w:themeColor="text1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627"/>
        <w:gridCol w:w="838"/>
        <w:gridCol w:w="594"/>
        <w:gridCol w:w="907"/>
        <w:gridCol w:w="2865"/>
        <w:gridCol w:w="3516"/>
      </w:tblGrid>
      <w:tr w:rsidR="001242FC">
        <w:trPr>
          <w:trHeight w:val="600"/>
        </w:trPr>
        <w:tc>
          <w:tcPr>
            <w:tcW w:w="94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№ стр.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Код КСЛП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№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Значение КСЛП</w:t>
            </w:r>
          </w:p>
        </w:tc>
        <w:tc>
          <w:tcPr>
            <w:tcW w:w="4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Наименование КСЛП</w:t>
            </w:r>
          </w:p>
        </w:tc>
        <w:tc>
          <w:tcPr>
            <w:tcW w:w="5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Основание применения</w:t>
            </w:r>
          </w:p>
        </w:tc>
      </w:tr>
      <w:tr w:rsidR="001242FC">
        <w:trPr>
          <w:trHeight w:val="300"/>
        </w:trPr>
        <w:tc>
          <w:tcPr>
            <w:tcW w:w="94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1242FC"/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4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5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</w:p>
        </w:tc>
      </w:tr>
      <w:tr w:rsidR="001242FC" w:rsidTr="00C02A72">
        <w:trPr>
          <w:trHeight w:val="831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КСЛП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vertAlign w:val="subscript"/>
              </w:rPr>
              <w:t>01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sl001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0,2</w:t>
            </w:r>
          </w:p>
        </w:tc>
        <w:tc>
          <w:tcPr>
            <w:tcW w:w="4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Особенности оказания помощи (за исключением случаев оказания медицинской помощи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профилям «онкология», «детская онкология» и (или) «гематология»)</w:t>
            </w:r>
          </w:p>
        </w:tc>
        <w:tc>
          <w:tcPr>
            <w:tcW w:w="5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Необходимость предоставления спального места и питания законному представителю несовершеннолетних (детей до четырех лет, детей старше четырех лет при наличии медицинских показаний, детей-инва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лидов, которые в соответствии с индивидуальной программой реабилитации или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абилитации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ребенка-инвалида, выданной по результатам проведения медико-социальной экспертизы, имеют ограничения основных категорий жизнедеятельности человека второй и (или) третьей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степеней выраженности (ограничения способности к самообслуживанию, и (или) самостоятельному передвижению, и (или) ориентации, и (или) общению, и (или) обучению, и (или) контролю своего поведения, - независимо от возраста ребенка-инвалида) и ближайшему родс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твеннику, законному представителю или иному лицу (привлекаемому родственниками или законными представителями) пациентов, являющихся инвалидами 1 группы, за исключением случаев к которым применяется КСЛП, предусмотренный пунктом 2 настоящего перечня </w:t>
            </w:r>
          </w:p>
        </w:tc>
      </w:tr>
      <w:tr w:rsidR="001242FC">
        <w:trPr>
          <w:trHeight w:val="57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КСЛП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vertAlign w:val="subscript"/>
              </w:rPr>
              <w:t>02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sl002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0,6</w:t>
            </w:r>
          </w:p>
        </w:tc>
        <w:tc>
          <w:tcPr>
            <w:tcW w:w="4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Особенности оказания помощи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(для случаев оказания медицинской помощи по профилям «онкология», «детская онкология» и (или) «гематология»)</w:t>
            </w:r>
          </w:p>
        </w:tc>
        <w:tc>
          <w:tcPr>
            <w:tcW w:w="5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Необходимость предоставления спального места и питания законному представителю несовершеннолетних (дет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ей до четырех лет, детей старше четырех лет при наличии медицинских показаний, детей-инвалидов, которые в соответствии с индивидуальной программой реабилитации или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абилитации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ребенка-инвалида, выданной по результатам проведения медико-социальной экспертизы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, имеют ограничения основных категорий жизнедеятельности человека второй и (или) третьей степеней выраженности (ограничения способности к самообслуживанию, и (или) самостоятельному передвижению, и (или) ориентации, и (или) общению, и (или) обучению, и (или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) контролю своего поведения, - независимо от возраста ребенка-инвалида) и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ближайшему родственнику, законному представителю или иному лицу (привлекаемому родственниками или законными представителями) пациентов, являющихся инвалидами 1 группы, получающих мед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ицинскую по профилям «онкология», «детская онкология» и (или) «гематология»</w:t>
            </w:r>
          </w:p>
        </w:tc>
      </w:tr>
      <w:tr w:rsidR="001242FC">
        <w:trPr>
          <w:trHeight w:val="15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КСЛП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vertAlign w:val="subscript"/>
              </w:rPr>
              <w:t>03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sl003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0,2</w:t>
            </w:r>
          </w:p>
        </w:tc>
        <w:tc>
          <w:tcPr>
            <w:tcW w:w="4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Возраст пациента старше 75 лет</w:t>
            </w:r>
          </w:p>
        </w:tc>
        <w:tc>
          <w:tcPr>
            <w:tcW w:w="5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Сложность лечения пациента, связанная с возрастом (лица старше 75 лет) при наличии консультации врача-гериатра, за исключением случаев госпитализаций на геронтологические профильные койки</w:t>
            </w:r>
          </w:p>
        </w:tc>
      </w:tr>
      <w:tr w:rsidR="001242FC">
        <w:trPr>
          <w:trHeight w:val="150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КСЛП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vertAlign w:val="subscript"/>
              </w:rPr>
              <w:t>04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sl004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0,2</w:t>
            </w:r>
          </w:p>
        </w:tc>
        <w:tc>
          <w:tcPr>
            <w:tcW w:w="4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Развертывание индивидуального поста</w:t>
            </w:r>
          </w:p>
        </w:tc>
        <w:tc>
          <w:tcPr>
            <w:tcW w:w="5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Необходимость непрерывного индивидуального контроля (при отсутствии возможности перевода в специализированный психиатрический стационар или в отделение (палату) реанимации и интенсивной терапии)</w:t>
            </w:r>
          </w:p>
        </w:tc>
      </w:tr>
      <w:tr w:rsidR="001242FC">
        <w:trPr>
          <w:trHeight w:val="2171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5.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КСЛП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vertAlign w:val="subscript"/>
              </w:rPr>
              <w:t>05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sl005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0,6</w:t>
            </w:r>
          </w:p>
        </w:tc>
        <w:tc>
          <w:tcPr>
            <w:tcW w:w="4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Наличие у пациента тяжелой сопутствующей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патологии</w:t>
            </w:r>
          </w:p>
        </w:tc>
        <w:tc>
          <w:tcPr>
            <w:tcW w:w="5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Перечень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Сложность лечения пациента, связанная с наличием у пациента тяжелой сопутствующей патологии, осложнений заболеваний, сопутствующих заболеваний, согласно таблице 4 приложения 19 к настоящему тарифному соглашению</w:t>
              </w:r>
            </w:hyperlink>
          </w:p>
        </w:tc>
      </w:tr>
      <w:tr w:rsidR="001242FC">
        <w:trPr>
          <w:trHeight w:val="3118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6.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КСЛП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vertAlign w:val="subscript"/>
              </w:rPr>
              <w:t>06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sl006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0,05</w:t>
            </w:r>
          </w:p>
        </w:tc>
        <w:tc>
          <w:tcPr>
            <w:tcW w:w="4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Проведение сочетанных хирургических вмешательств или проведение однотипных операций на парных органах (уровень 1)</w:t>
            </w:r>
          </w:p>
        </w:tc>
        <w:tc>
          <w:tcPr>
            <w:tcW w:w="5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Перечень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В случае проведения сочетанных (симультанных) хирургических вмешательств, выполняемых во время о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дной госпитализации согласно таблице 2 приложения 19 к настоящему тарифному соглашению и проведение операции на парных органах/частях тела, согласно таблицы 3 приложения 19 к настоящему тарифному соглашению</w:t>
              </w:r>
            </w:hyperlink>
          </w:p>
        </w:tc>
      </w:tr>
      <w:tr w:rsidR="001242FC">
        <w:trPr>
          <w:trHeight w:val="2976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КСЛП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vertAlign w:val="subscript"/>
              </w:rPr>
              <w:t>07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sl007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0,47</w:t>
            </w:r>
          </w:p>
        </w:tc>
        <w:tc>
          <w:tcPr>
            <w:tcW w:w="4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Проведение сочетанных хирургических вмешательств или проведение однотипных операций на парных органах (уровень 2)</w:t>
            </w:r>
          </w:p>
        </w:tc>
        <w:tc>
          <w:tcPr>
            <w:tcW w:w="5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Перечень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В случае проведения сочетанных (симультанных) 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хирургических вмешательств, выполняемых во время одной госпитализации согласно таблице 2 приложения 19 к настоящему тарифному соглашению и проведение операции на парных органах/частях тела, согласно таблицы 3 приложения 19 к настоящему тарифному соглашению</w:t>
              </w:r>
            </w:hyperlink>
          </w:p>
        </w:tc>
      </w:tr>
      <w:tr w:rsidR="001242FC">
        <w:trPr>
          <w:trHeight w:val="2976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8.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КСЛП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vertAlign w:val="subscript"/>
              </w:rPr>
              <w:t>08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sl008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1,16</w:t>
            </w:r>
          </w:p>
        </w:tc>
        <w:tc>
          <w:tcPr>
            <w:tcW w:w="4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Проведение сочетанных хирургических вмешательств или проведение однотипных операций на парных органах (уровень 3)</w:t>
            </w:r>
          </w:p>
        </w:tc>
        <w:tc>
          <w:tcPr>
            <w:tcW w:w="5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Перечень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В случае проведения сочетанных (симультанных) хирургических вмешательств, выполняемых во вр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емя одной госпитализации согласно таблице 2 приложения 19 к настоящему тарифному соглашению и проведение операции на парных органах/частях тела, согласно таблицы 3 приложения 19 к настоящему тарифному соглашению</w:t>
              </w:r>
            </w:hyperlink>
          </w:p>
        </w:tc>
      </w:tr>
      <w:tr w:rsidR="001242FC">
        <w:trPr>
          <w:trHeight w:val="2976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9.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КСЛП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vertAlign w:val="subscript"/>
              </w:rPr>
              <w:t>09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sl009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2,07</w:t>
            </w:r>
          </w:p>
        </w:tc>
        <w:tc>
          <w:tcPr>
            <w:tcW w:w="4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Проведение сочетанных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хирургических вмешательств или проведение однотипных операций на парных органах (уровень 4)</w:t>
            </w:r>
          </w:p>
        </w:tc>
        <w:tc>
          <w:tcPr>
            <w:tcW w:w="5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Перечень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В случае проведения сочетанных (симультанных) 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хирургических вмешательств, выполняемых во время одной госпитализации согласно таблице 2 приложения 19 к настоящему тарифному соглашению и проведение операции на парных органах/частях тела, согласно таблицы 3 приложения 19 к настоящему тарифному соглашению</w:t>
              </w:r>
            </w:hyperlink>
          </w:p>
        </w:tc>
      </w:tr>
      <w:tr w:rsidR="001242FC">
        <w:trPr>
          <w:trHeight w:val="1552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10.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КСЛП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vertAlign w:val="subscript"/>
              </w:rPr>
              <w:t>10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sl010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3,49</w:t>
            </w:r>
          </w:p>
        </w:tc>
        <w:tc>
          <w:tcPr>
            <w:tcW w:w="4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Проведение сочетанных хирургических вмешательств или проведение однотипных операций на парных органах (уровень 5)</w:t>
            </w:r>
          </w:p>
        </w:tc>
        <w:tc>
          <w:tcPr>
            <w:tcW w:w="5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Перечень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В случае проведения операции на парных органах/частях тела, согласно таблицы 3 приложения 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19 к настоящему тарифному соглашению</w:t>
              </w:r>
            </w:hyperlink>
          </w:p>
        </w:tc>
      </w:tr>
      <w:tr w:rsidR="001242FC">
        <w:trPr>
          <w:trHeight w:val="819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11.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КСЛП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vertAlign w:val="subscript"/>
              </w:rPr>
              <w:t>11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sl011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0,18</w:t>
            </w:r>
          </w:p>
        </w:tc>
        <w:tc>
          <w:tcPr>
            <w:tcW w:w="4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&lt;1&gt; Применение КСЛП в соответствии со схемой маршрутизации пациентов и перечнем медицинских организаций, оказывающих специализированную, в том числе высокотехнологическую медицинскую помощь, осуществляющих первый этап медицинской реабилитации, определенным при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Проведение 1 этапа медицинской реабилитации 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  <w:vertAlign w:val="superscript"/>
                </w:rPr>
                <w:t>1</w:t>
              </w:r>
            </w:hyperlink>
          </w:p>
        </w:tc>
        <w:tc>
          <w:tcPr>
            <w:tcW w:w="5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При проведении реабилитационных мероприятий при нахождении пациента на реанимационной койке и/или койке интенсивной терапии, начавшихся не позднее 48 часов от поступления в отделение реанимации или на койку интенсивной терапии с общей длительностью реабили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тационных мероприятий не менее 5 суток, включая период после перевода на профильные койки по окончании реанимационных мероприятий, при обязательной продолжительности реабилитационных мероприятий не менее одного часа в сутки (при условии организации отделен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ия ранней медицинской реабилитации на не менее чем 12 коек отделения, оказывающего медицинскую помощь по профилю "анестезиология и реанимация", и его укомплектования в соответствии с порядком оказания медицинской помощи по медицинской реабилитации)</w:t>
            </w:r>
          </w:p>
        </w:tc>
      </w:tr>
      <w:tr w:rsidR="001242FC">
        <w:trPr>
          <w:trHeight w:val="1842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12.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КС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ЛП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vertAlign w:val="subscript"/>
              </w:rPr>
              <w:t>12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sl014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0,05</w:t>
            </w:r>
          </w:p>
        </w:tc>
        <w:tc>
          <w:tcPr>
            <w:tcW w:w="4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Проведение тестирования на выявление респираторных вирусных заболеваний (грипп, COVID-19) в период госпитализации</w:t>
            </w:r>
          </w:p>
        </w:tc>
        <w:tc>
          <w:tcPr>
            <w:tcW w:w="5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Перечень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Применяется к случаям оказания медицинской помощи за исключением оплаты случаев лечения, оплачивае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мых по КСГ приведенных в таблице 8 приложения 19 к настоящему тарифному соглашению</w:t>
              </w:r>
            </w:hyperlink>
          </w:p>
        </w:tc>
      </w:tr>
      <w:tr w:rsidR="001242FC">
        <w:trPr>
          <w:trHeight w:val="4490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13.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КСЛП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vertAlign w:val="subscript"/>
              </w:rPr>
              <w:t>13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sl015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0,14</w:t>
            </w:r>
          </w:p>
        </w:tc>
        <w:tc>
          <w:tcPr>
            <w:tcW w:w="4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Проведение сопроводительной лекарственной терапии при злокачественных новообразованиях у взрослых в стационарных условиях в соответствии с клиническими рекомендациями (уровень 1)</w:t>
            </w:r>
          </w:p>
        </w:tc>
        <w:tc>
          <w:tcPr>
            <w:tcW w:w="5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Перечень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В случае проведения сопроводительной лекарственно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й терапии при злокачественных новообразованиях у взрослых, если проведение сопроводительной терапии предусмотрено соответствующими клиническими рекомендациями, в рамках госпитализаций в стационарных условиях по КСГ </w:t>
              </w:r>
              <w:proofErr w:type="gramStart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согласно таблицы</w:t>
              </w:r>
              <w:proofErr w:type="gramEnd"/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 5 приложения 19 к настоя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щему тарифному соглашению, с применением схем согласно таблице 7 приложения 19 к настоящему тарифному соглашению</w:t>
              </w:r>
            </w:hyperlink>
          </w:p>
        </w:tc>
      </w:tr>
      <w:tr w:rsidR="001242FC" w:rsidTr="00C02A72">
        <w:trPr>
          <w:trHeight w:val="3842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14.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КСЛП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vertAlign w:val="subscript"/>
              </w:rPr>
              <w:t>14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sl016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0,34</w:t>
            </w:r>
          </w:p>
        </w:tc>
        <w:tc>
          <w:tcPr>
            <w:tcW w:w="4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Проведение сопроводительной лекарственной терапии при злокачественных новообразованиях у взрослых в стационарных условиях в соответствии с клиническими рекомендациями (уровень 2)</w:t>
            </w:r>
          </w:p>
        </w:tc>
        <w:tc>
          <w:tcPr>
            <w:tcW w:w="5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Перечень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В случае проведения сопроводительной лекарственно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й терапии при злокачественных новообразованиях у взрослых, если проведение сопроводительной терапии предусмотрено соответствующими клиническими рекомендациями, в рамках госпитализаций в стационарных условиях по КСГ согласно таблице 5 приложения 19 к настоя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щему тарифному соглашению, с применением схем согласно таблице 7 приложения 19 к настоящему тарифному соглашению</w:t>
              </w:r>
            </w:hyperlink>
          </w:p>
        </w:tc>
      </w:tr>
      <w:tr w:rsidR="001242FC">
        <w:trPr>
          <w:trHeight w:val="4394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15.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КСЛП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vertAlign w:val="subscript"/>
              </w:rPr>
              <w:t>15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sl017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1,28</w:t>
            </w:r>
          </w:p>
        </w:tc>
        <w:tc>
          <w:tcPr>
            <w:tcW w:w="4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Проведение сопроводительной лекарственной терапии при злокачественных новообразованиях у взрослых в стационарных условиях в соответствии с клиническими рекомендациями (уровень 3)</w:t>
            </w:r>
          </w:p>
        </w:tc>
        <w:tc>
          <w:tcPr>
            <w:tcW w:w="5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Перечень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В случае проведения сопроводительной лекарственно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й терапии при злокачественных новообразованиях у взрослых, если проведение сопроводительной терапии предусмотрено соответствующими клиническими рекомендациями, в рамках госпитализаций в стационарных условиях по КСГ согласно таблице 5 приложения 19 к настоя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щему тарифному соглашению, с применением схем согласно таблице 7 приложения 19 к настоящему тарифному соглашению</w:t>
              </w:r>
            </w:hyperlink>
          </w:p>
        </w:tc>
      </w:tr>
      <w:tr w:rsidR="001242FC" w:rsidTr="00C02A72">
        <w:trPr>
          <w:trHeight w:val="3949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16.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КСЛП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vertAlign w:val="subscript"/>
              </w:rPr>
              <w:t>16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sl018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0,26</w:t>
            </w:r>
          </w:p>
        </w:tc>
        <w:tc>
          <w:tcPr>
            <w:tcW w:w="4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Проведение сопроводительной лекарственной терапии при злокачественных новообразованиях у взрослых в условиях дневного стационара в соответствии с клиническими рекомендациями (уровень 1)</w:t>
            </w:r>
          </w:p>
        </w:tc>
        <w:tc>
          <w:tcPr>
            <w:tcW w:w="5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Перечень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В случае проведения сопроводительной лекар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ственной терапии при злокачественных новообразованиях у взрослых, если проведение сопроводительной терапии предусмотрено соответствующими клиническими рекомендациями, в рамках госпитализаций в условиях дневного стационара по КСГ согласно таблице 6 приложен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ия 19 к настоящему тарифному соглашению, с применением схем согласно таблице 7 приложения 19 к настоящему тарифному соглашению</w:t>
              </w:r>
            </w:hyperlink>
          </w:p>
        </w:tc>
      </w:tr>
      <w:tr w:rsidR="001242FC" w:rsidTr="00C02A72">
        <w:trPr>
          <w:trHeight w:val="3799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17.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КСЛП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vertAlign w:val="subscript"/>
              </w:rPr>
              <w:t>17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sl019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1,07</w:t>
            </w:r>
          </w:p>
        </w:tc>
        <w:tc>
          <w:tcPr>
            <w:tcW w:w="4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Проведение сопроводительной лекарственной терапии при злокачественных новообразованиях у взрослых в условиях дневного стационара в соответствии с клиническими рекомендациями (уровень 2)</w:t>
            </w:r>
          </w:p>
        </w:tc>
        <w:tc>
          <w:tcPr>
            <w:tcW w:w="5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Перечень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В случае проведения сопроводительной лекар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ственной терапии при злокачественных новообразованиях у взрослых, если проведение сопроводительной терапии предусмотрено соответствующими клиническими рекомендациями, в рамках госпитализаций в условиях дневного стационара по КСГ согласно таблице 6 приложен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ия 19 к настоящему тарифному соглашению, с применением схем согласно таблице 7 приложения 19 к настоящему тарифному соглашению</w:t>
              </w:r>
            </w:hyperlink>
          </w:p>
        </w:tc>
      </w:tr>
      <w:tr w:rsidR="001242FC" w:rsidTr="00C02A72">
        <w:trPr>
          <w:trHeight w:val="4129"/>
        </w:trPr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18.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КСЛП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vertAlign w:val="subscript"/>
              </w:rPr>
              <w:t>18</w:t>
            </w:r>
          </w:p>
        </w:tc>
        <w:tc>
          <w:tcPr>
            <w:tcW w:w="728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sl020</w:t>
            </w:r>
          </w:p>
        </w:tc>
        <w:tc>
          <w:tcPr>
            <w:tcW w:w="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2,3</w:t>
            </w:r>
          </w:p>
        </w:tc>
        <w:tc>
          <w:tcPr>
            <w:tcW w:w="422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Проведение сопроводительной лекарственной терапии при злокачественных новообразованиях у взрослых в условия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х дневного стационара в соответствии с клиническими рекомендациями (уровень 3)</w:t>
            </w:r>
          </w:p>
        </w:tc>
        <w:tc>
          <w:tcPr>
            <w:tcW w:w="53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242FC" w:rsidRDefault="00C02A72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w:tooltip="Перечень" w:history="1"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 xml:space="preserve">В случае проведения сопроводительной лекарственной терапии при злокачественных новообразованиях у взрослых, если проведение сопроводительной терапии 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предусмотрено соответствующими клиническими рекомендациями, в рамках госпитализаций в условиях дневного стационара по КСГ согласно таблице 6 приложения 19 к настоящему тарифному соглашению, с применением схем согласно таблице 7 приложения 19 к настоящему т</w:t>
              </w:r>
              <w:r>
                <w:rPr>
                  <w:rFonts w:ascii="Times New Roman" w:eastAsia="Times New Roman" w:hAnsi="Times New Roman" w:cs="Times New Roman"/>
                  <w:color w:val="000000" w:themeColor="text1"/>
                </w:rPr>
                <w:t>арифному соглашению</w:t>
              </w:r>
            </w:hyperlink>
          </w:p>
        </w:tc>
      </w:tr>
    </w:tbl>
    <w:p w:rsidR="001242FC" w:rsidRDefault="00C02A72" w:rsidP="00C02A72">
      <w:pPr>
        <w:pStyle w:val="ConsPlusNormal"/>
        <w:pBdr>
          <w:top w:val="none" w:sz="4" w:space="23" w:color="000000"/>
        </w:pBdr>
        <w:tabs>
          <w:tab w:val="center" w:pos="4677"/>
        </w:tabs>
        <w:ind w:firstLine="540"/>
        <w:jc w:val="both"/>
        <w:rPr>
          <w:color w:val="000000" w:themeColor="text1"/>
        </w:rPr>
      </w:pPr>
      <w:r>
        <w:rPr>
          <w:color w:val="000000" w:themeColor="text1"/>
        </w:rPr>
        <w:t>--------------------------------</w:t>
      </w:r>
      <w:bookmarkStart w:id="0" w:name="_GoBack"/>
      <w:bookmarkEnd w:id="0"/>
    </w:p>
    <w:p w:rsidR="001242FC" w:rsidRPr="00C02A72" w:rsidRDefault="00C02A72" w:rsidP="00C02A72">
      <w:pPr>
        <w:pStyle w:val="ConsPlusNormal"/>
        <w:pBdr>
          <w:top w:val="none" w:sz="4" w:space="23" w:color="000000"/>
        </w:pBdr>
        <w:spacing w:before="240"/>
        <w:ind w:firstLine="540"/>
        <w:jc w:val="both"/>
        <w:rPr>
          <w:color w:val="000000" w:themeColor="text1"/>
          <w:sz w:val="28"/>
          <w:szCs w:val="28"/>
        </w:rPr>
      </w:pPr>
      <w:bookmarkStart w:id="1" w:name="undefined"/>
      <w:bookmarkEnd w:id="1"/>
      <w:r>
        <w:rPr>
          <w:color w:val="000000" w:themeColor="text1"/>
          <w:vertAlign w:val="superscript"/>
        </w:rPr>
        <w:t xml:space="preserve">1 </w:t>
      </w:r>
      <w:r>
        <w:rPr>
          <w:color w:val="000000" w:themeColor="text1"/>
        </w:rPr>
        <w:t>Применение КСЛП в соответствии со схемой маршрутизации п</w:t>
      </w:r>
      <w:r>
        <w:rPr>
          <w:color w:val="000000" w:themeColor="text1"/>
        </w:rPr>
        <w:t>ациентов и перечнем медицинских организаций, оказывающих специализированную, в том числе высокотехнологическую медицинскую помощь, осуществляющих первый этап медицинской реабилитации, определенным приказом Министерства здравоохранения Ставропольского края.</w:t>
      </w:r>
      <w:r>
        <w:rPr>
          <w:color w:val="000000" w:themeColor="text1"/>
          <w:sz w:val="28"/>
          <w:szCs w:val="28"/>
        </w:rPr>
        <w:t>».</w:t>
      </w:r>
    </w:p>
    <w:sectPr w:rsidR="001242FC" w:rsidRPr="00C02A72" w:rsidSect="000B11CE">
      <w:headerReference w:type="default" r:id="rId7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42FC" w:rsidRDefault="00C02A72">
      <w:pPr>
        <w:spacing w:after="0" w:line="240" w:lineRule="auto"/>
      </w:pPr>
      <w:r>
        <w:separator/>
      </w:r>
    </w:p>
  </w:endnote>
  <w:endnote w:type="continuationSeparator" w:id="0">
    <w:p w:rsidR="001242FC" w:rsidRDefault="00C02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42FC" w:rsidRDefault="00C02A72">
      <w:pPr>
        <w:spacing w:after="0" w:line="240" w:lineRule="auto"/>
      </w:pPr>
      <w:r>
        <w:separator/>
      </w:r>
    </w:p>
  </w:footnote>
  <w:footnote w:type="continuationSeparator" w:id="0">
    <w:p w:rsidR="001242FC" w:rsidRDefault="00C02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21002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B11CE" w:rsidRPr="000B11CE" w:rsidRDefault="000B11CE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B11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B11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B11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02A72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0B11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B11CE" w:rsidRDefault="000B11C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310B7"/>
    <w:multiLevelType w:val="hybridMultilevel"/>
    <w:tmpl w:val="FEF257EE"/>
    <w:lvl w:ilvl="0" w:tplc="DCDC628E">
      <w:start w:val="1"/>
      <w:numFmt w:val="decimal"/>
      <w:lvlText w:val="%1."/>
      <w:lvlJc w:val="right"/>
      <w:pPr>
        <w:ind w:left="709" w:hanging="360"/>
      </w:pPr>
    </w:lvl>
    <w:lvl w:ilvl="1" w:tplc="391AEB1A">
      <w:start w:val="1"/>
      <w:numFmt w:val="lowerLetter"/>
      <w:lvlText w:val="%2."/>
      <w:lvlJc w:val="left"/>
      <w:pPr>
        <w:ind w:left="1429" w:hanging="360"/>
      </w:pPr>
    </w:lvl>
    <w:lvl w:ilvl="2" w:tplc="E882748A">
      <w:start w:val="1"/>
      <w:numFmt w:val="lowerRoman"/>
      <w:lvlText w:val="%3."/>
      <w:lvlJc w:val="right"/>
      <w:pPr>
        <w:ind w:left="2149" w:hanging="180"/>
      </w:pPr>
    </w:lvl>
    <w:lvl w:ilvl="3" w:tplc="3E800EAE">
      <w:start w:val="1"/>
      <w:numFmt w:val="decimal"/>
      <w:lvlText w:val="%4."/>
      <w:lvlJc w:val="left"/>
      <w:pPr>
        <w:ind w:left="2869" w:hanging="360"/>
      </w:pPr>
    </w:lvl>
    <w:lvl w:ilvl="4" w:tplc="7562CDE0">
      <w:start w:val="1"/>
      <w:numFmt w:val="lowerLetter"/>
      <w:lvlText w:val="%5."/>
      <w:lvlJc w:val="left"/>
      <w:pPr>
        <w:ind w:left="3589" w:hanging="360"/>
      </w:pPr>
    </w:lvl>
    <w:lvl w:ilvl="5" w:tplc="A86E25DC">
      <w:start w:val="1"/>
      <w:numFmt w:val="lowerRoman"/>
      <w:lvlText w:val="%6."/>
      <w:lvlJc w:val="right"/>
      <w:pPr>
        <w:ind w:left="4309" w:hanging="180"/>
      </w:pPr>
    </w:lvl>
    <w:lvl w:ilvl="6" w:tplc="DFC89178">
      <w:start w:val="1"/>
      <w:numFmt w:val="decimal"/>
      <w:lvlText w:val="%7."/>
      <w:lvlJc w:val="left"/>
      <w:pPr>
        <w:ind w:left="5029" w:hanging="360"/>
      </w:pPr>
    </w:lvl>
    <w:lvl w:ilvl="7" w:tplc="3992F472">
      <w:start w:val="1"/>
      <w:numFmt w:val="lowerLetter"/>
      <w:lvlText w:val="%8."/>
      <w:lvlJc w:val="left"/>
      <w:pPr>
        <w:ind w:left="5749" w:hanging="360"/>
      </w:pPr>
    </w:lvl>
    <w:lvl w:ilvl="8" w:tplc="8376EF06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2B4A7F39"/>
    <w:multiLevelType w:val="hybridMultilevel"/>
    <w:tmpl w:val="1BA85F12"/>
    <w:lvl w:ilvl="0" w:tplc="A93E3654">
      <w:start w:val="1"/>
      <w:numFmt w:val="decimal"/>
      <w:lvlText w:val="%1."/>
      <w:lvlJc w:val="right"/>
      <w:pPr>
        <w:ind w:left="709" w:hanging="360"/>
      </w:pPr>
    </w:lvl>
    <w:lvl w:ilvl="1" w:tplc="A042A386">
      <w:start w:val="1"/>
      <w:numFmt w:val="lowerLetter"/>
      <w:lvlText w:val="%2."/>
      <w:lvlJc w:val="left"/>
      <w:pPr>
        <w:ind w:left="1429" w:hanging="360"/>
      </w:pPr>
    </w:lvl>
    <w:lvl w:ilvl="2" w:tplc="B61833F4">
      <w:start w:val="1"/>
      <w:numFmt w:val="lowerRoman"/>
      <w:lvlText w:val="%3."/>
      <w:lvlJc w:val="right"/>
      <w:pPr>
        <w:ind w:left="2149" w:hanging="180"/>
      </w:pPr>
    </w:lvl>
    <w:lvl w:ilvl="3" w:tplc="7D88681A">
      <w:start w:val="1"/>
      <w:numFmt w:val="decimal"/>
      <w:lvlText w:val="%4."/>
      <w:lvlJc w:val="left"/>
      <w:pPr>
        <w:ind w:left="2869" w:hanging="360"/>
      </w:pPr>
    </w:lvl>
    <w:lvl w:ilvl="4" w:tplc="2FCE70C6">
      <w:start w:val="1"/>
      <w:numFmt w:val="lowerLetter"/>
      <w:lvlText w:val="%5."/>
      <w:lvlJc w:val="left"/>
      <w:pPr>
        <w:ind w:left="3589" w:hanging="360"/>
      </w:pPr>
    </w:lvl>
    <w:lvl w:ilvl="5" w:tplc="D7C403E8">
      <w:start w:val="1"/>
      <w:numFmt w:val="lowerRoman"/>
      <w:lvlText w:val="%6."/>
      <w:lvlJc w:val="right"/>
      <w:pPr>
        <w:ind w:left="4309" w:hanging="180"/>
      </w:pPr>
    </w:lvl>
    <w:lvl w:ilvl="6" w:tplc="412CB110">
      <w:start w:val="1"/>
      <w:numFmt w:val="decimal"/>
      <w:lvlText w:val="%7."/>
      <w:lvlJc w:val="left"/>
      <w:pPr>
        <w:ind w:left="5029" w:hanging="360"/>
      </w:pPr>
    </w:lvl>
    <w:lvl w:ilvl="7" w:tplc="2C10D75C">
      <w:start w:val="1"/>
      <w:numFmt w:val="lowerLetter"/>
      <w:lvlText w:val="%8."/>
      <w:lvlJc w:val="left"/>
      <w:pPr>
        <w:ind w:left="5749" w:hanging="360"/>
      </w:pPr>
    </w:lvl>
    <w:lvl w:ilvl="8" w:tplc="8474BFC8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2FC"/>
    <w:rsid w:val="000B11CE"/>
    <w:rsid w:val="001242FC"/>
    <w:rsid w:val="00C02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A05BAA-1CC3-4BC6-8F92-A769016EE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1720</Words>
  <Characters>9810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Матюшенко Екатерина Юрьевна</cp:lastModifiedBy>
  <cp:revision>17</cp:revision>
  <dcterms:created xsi:type="dcterms:W3CDTF">2026-02-25T10:11:00Z</dcterms:created>
  <dcterms:modified xsi:type="dcterms:W3CDTF">2026-02-25T10:13:00Z</dcterms:modified>
</cp:coreProperties>
</file>